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26BB" w:rsidRPr="00B80323" w:rsidRDefault="00DF0209" w:rsidP="00DF0209">
      <w:pPr>
        <w:pStyle w:val="Title"/>
        <w:ind w:left="1440"/>
        <w:jc w:val="center"/>
        <w:rPr>
          <w:rFonts w:ascii="Gotham Bold" w:hAnsi="Gotham Bold"/>
          <w:sz w:val="40"/>
          <w:szCs w:val="40"/>
        </w:rPr>
      </w:pPr>
      <w:bookmarkStart w:id="0" w:name="_GoBack"/>
      <w:r w:rsidRPr="00B80323">
        <w:rPr>
          <w:rFonts w:ascii="Gotham Bold" w:hAnsi="Gotham Bold"/>
          <w:noProof/>
          <w:sz w:val="40"/>
          <w:szCs w:val="40"/>
        </w:rPr>
        <w:drawing>
          <wp:anchor distT="0" distB="0" distL="114300" distR="114300" simplePos="0" relativeHeight="251659264" behindDoc="1" locked="0" layoutInCell="1" allowOverlap="1" wp14:anchorId="02A51A92" wp14:editId="12F91102">
            <wp:simplePos x="0" y="0"/>
            <wp:positionH relativeFrom="column">
              <wp:posOffset>-48260</wp:posOffset>
            </wp:positionH>
            <wp:positionV relativeFrom="paragraph">
              <wp:posOffset>409575</wp:posOffset>
            </wp:positionV>
            <wp:extent cx="1234440" cy="933450"/>
            <wp:effectExtent l="0" t="0" r="3810" b="0"/>
            <wp:wrapTight wrapText="bothSides">
              <wp:wrapPolygon edited="0">
                <wp:start x="9667" y="0"/>
                <wp:lineTo x="2000" y="7053"/>
                <wp:lineTo x="0" y="9257"/>
                <wp:lineTo x="0" y="21159"/>
                <wp:lineTo x="21333" y="21159"/>
                <wp:lineTo x="21333" y="9257"/>
                <wp:lineTo x="11667" y="0"/>
                <wp:lineTo x="9667"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logo positive2.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34440" cy="933450"/>
                    </a:xfrm>
                    <a:prstGeom prst="rect">
                      <a:avLst/>
                    </a:prstGeom>
                  </pic:spPr>
                </pic:pic>
              </a:graphicData>
            </a:graphic>
            <wp14:sizeRelH relativeFrom="page">
              <wp14:pctWidth>0</wp14:pctWidth>
            </wp14:sizeRelH>
            <wp14:sizeRelV relativeFrom="page">
              <wp14:pctHeight>0</wp14:pctHeight>
            </wp14:sizeRelV>
          </wp:anchor>
        </w:drawing>
      </w:r>
      <w:r w:rsidR="003D7BF7" w:rsidRPr="00B80323">
        <w:rPr>
          <w:rFonts w:ascii="Gotham Bold" w:hAnsi="Gotham Bold"/>
          <w:sz w:val="40"/>
          <w:szCs w:val="40"/>
        </w:rPr>
        <w:t>DISTRIBUTING MATERIAL, CANVASSING, PERFORMING</w:t>
      </w:r>
      <w:r w:rsidRPr="00B80323">
        <w:rPr>
          <w:rFonts w:ascii="Gotham Bold" w:hAnsi="Gotham Bold"/>
          <w:sz w:val="40"/>
          <w:szCs w:val="40"/>
        </w:rPr>
        <w:t>,</w:t>
      </w:r>
      <w:r w:rsidR="003D7BF7" w:rsidRPr="00B80323">
        <w:rPr>
          <w:rFonts w:ascii="Gotham Bold" w:hAnsi="Gotham Bold"/>
          <w:sz w:val="40"/>
          <w:szCs w:val="40"/>
        </w:rPr>
        <w:t xml:space="preserve"> OR SPEAKING ON LIBRARY PROPERTY</w:t>
      </w:r>
      <w:r w:rsidR="009526BB" w:rsidRPr="00B80323">
        <w:rPr>
          <w:rFonts w:ascii="Gotham Bold" w:hAnsi="Gotham Bold"/>
          <w:sz w:val="40"/>
          <w:szCs w:val="40"/>
        </w:rPr>
        <w:t xml:space="preserve"> Policy</w:t>
      </w:r>
      <w:bookmarkEnd w:id="0"/>
    </w:p>
    <w:p w:rsidR="009526BB" w:rsidRPr="001949E6" w:rsidRDefault="009526BB" w:rsidP="001271B0">
      <w:pPr>
        <w:rPr>
          <w:sz w:val="24"/>
          <w:szCs w:val="24"/>
        </w:rPr>
      </w:pPr>
    </w:p>
    <w:p w:rsidR="009526BB" w:rsidRPr="001C6C88" w:rsidRDefault="003D7BF7" w:rsidP="001271B0">
      <w:pPr>
        <w:spacing w:after="0"/>
        <w:jc w:val="both"/>
        <w:rPr>
          <w:sz w:val="24"/>
          <w:szCs w:val="24"/>
        </w:rPr>
      </w:pPr>
      <w:r w:rsidRPr="001C6C88">
        <w:rPr>
          <w:sz w:val="24"/>
          <w:szCs w:val="24"/>
        </w:rPr>
        <w:t>The Alexandrian Public Library recognizes and supports the public’s right to free speech that includes presenting speeches, distributing petitions or other information, and advocating views or positions. However, the Alexandrian Public Library also has an obligation to provide library services to the public in an environment where access and privacy are maintained and where safe and unobstructed ingress and egress to Alexandrian Public Library property is provided. Therefore, the Alexandrian Public Library has established this policy to allow free speech while ensuring that the rights of others to use Alexandrian Public Library facilities are no</w:t>
      </w:r>
      <w:r w:rsidR="006269EA" w:rsidRPr="001C6C88">
        <w:rPr>
          <w:sz w:val="24"/>
          <w:szCs w:val="24"/>
        </w:rPr>
        <w:t>t</w:t>
      </w:r>
      <w:r w:rsidRPr="001C6C88">
        <w:rPr>
          <w:sz w:val="24"/>
          <w:szCs w:val="24"/>
        </w:rPr>
        <w:t xml:space="preserve"> impeded.</w:t>
      </w:r>
    </w:p>
    <w:p w:rsidR="003D7BF7" w:rsidRPr="001C6C88" w:rsidRDefault="003D7BF7" w:rsidP="001271B0">
      <w:pPr>
        <w:spacing w:after="0"/>
        <w:jc w:val="both"/>
        <w:rPr>
          <w:sz w:val="24"/>
          <w:szCs w:val="24"/>
        </w:rPr>
      </w:pPr>
    </w:p>
    <w:p w:rsidR="003D7BF7" w:rsidRPr="001C6C88" w:rsidRDefault="003D7BF7" w:rsidP="001271B0">
      <w:pPr>
        <w:spacing w:after="0"/>
        <w:jc w:val="both"/>
        <w:rPr>
          <w:sz w:val="24"/>
          <w:szCs w:val="24"/>
        </w:rPr>
      </w:pPr>
      <w:r w:rsidRPr="001C6C88">
        <w:rPr>
          <w:sz w:val="24"/>
          <w:szCs w:val="24"/>
          <w:u w:val="single"/>
        </w:rPr>
        <w:t>Note:</w:t>
      </w:r>
      <w:r w:rsidRPr="001C6C88">
        <w:rPr>
          <w:sz w:val="24"/>
          <w:szCs w:val="24"/>
        </w:rPr>
        <w:t xml:space="preserve">   This policy pertains to the use of the Alexandrian Public Library grounds and not the inside of the Alexandrian Public Library buildings. Persons wishing to reserve a designated meeting space on Alexandrian Public Library property should refer to the Meeting Room Policy, or </w:t>
      </w:r>
      <w:r w:rsidR="001271B0" w:rsidRPr="001C6C88">
        <w:rPr>
          <w:sz w:val="24"/>
          <w:szCs w:val="24"/>
        </w:rPr>
        <w:t>speak</w:t>
      </w:r>
      <w:r w:rsidRPr="001C6C88">
        <w:rPr>
          <w:sz w:val="24"/>
          <w:szCs w:val="24"/>
        </w:rPr>
        <w:t xml:space="preserve"> with a staff member regarding which room they would like to use.</w:t>
      </w:r>
    </w:p>
    <w:p w:rsidR="003D7BF7" w:rsidRPr="001C6C88" w:rsidRDefault="003D7BF7" w:rsidP="001271B0">
      <w:pPr>
        <w:spacing w:after="0"/>
        <w:jc w:val="both"/>
        <w:rPr>
          <w:sz w:val="24"/>
          <w:szCs w:val="24"/>
        </w:rPr>
      </w:pPr>
    </w:p>
    <w:p w:rsidR="003D7BF7" w:rsidRPr="00096B37" w:rsidRDefault="003D7BF7" w:rsidP="003D7BF7">
      <w:pPr>
        <w:spacing w:after="0"/>
        <w:rPr>
          <w:b/>
          <w:sz w:val="24"/>
          <w:szCs w:val="24"/>
        </w:rPr>
      </w:pPr>
      <w:r w:rsidRPr="00096B37">
        <w:rPr>
          <w:b/>
          <w:sz w:val="24"/>
          <w:szCs w:val="24"/>
        </w:rPr>
        <w:t>Regulations:</w:t>
      </w:r>
    </w:p>
    <w:p w:rsidR="003D7BF7" w:rsidRPr="001C6C88" w:rsidRDefault="003D7BF7" w:rsidP="003D7BF7">
      <w:pPr>
        <w:spacing w:after="0"/>
        <w:rPr>
          <w:sz w:val="24"/>
          <w:szCs w:val="24"/>
        </w:rPr>
      </w:pPr>
    </w:p>
    <w:p w:rsidR="00D25361" w:rsidRPr="00CC4102" w:rsidRDefault="006269EA" w:rsidP="00CC4102">
      <w:pPr>
        <w:pStyle w:val="ListParagraph"/>
        <w:numPr>
          <w:ilvl w:val="0"/>
          <w:numId w:val="6"/>
        </w:numPr>
        <w:spacing w:after="0"/>
        <w:ind w:left="0" w:firstLine="720"/>
        <w:jc w:val="both"/>
        <w:rPr>
          <w:sz w:val="24"/>
          <w:szCs w:val="24"/>
        </w:rPr>
      </w:pPr>
      <w:r w:rsidRPr="00CC4102">
        <w:rPr>
          <w:sz w:val="24"/>
          <w:szCs w:val="24"/>
        </w:rPr>
        <w:t>Persons wishing</w:t>
      </w:r>
      <w:r w:rsidR="003D7BF7" w:rsidRPr="00CC4102">
        <w:rPr>
          <w:sz w:val="24"/>
          <w:szCs w:val="24"/>
        </w:rPr>
        <w:t xml:space="preserve"> to distribute material, canvass, pe</w:t>
      </w:r>
      <w:r w:rsidR="001C6C88" w:rsidRPr="00CC4102">
        <w:rPr>
          <w:sz w:val="24"/>
          <w:szCs w:val="24"/>
        </w:rPr>
        <w:t xml:space="preserve">rform, or speak on Alexandrian </w:t>
      </w:r>
      <w:r w:rsidR="00CC4102">
        <w:rPr>
          <w:sz w:val="24"/>
          <w:szCs w:val="24"/>
        </w:rPr>
        <w:t xml:space="preserve">Public Library </w:t>
      </w:r>
      <w:r w:rsidR="003D7BF7" w:rsidRPr="00CC4102">
        <w:rPr>
          <w:sz w:val="24"/>
          <w:szCs w:val="24"/>
        </w:rPr>
        <w:t>property must obtain permission in advance fr</w:t>
      </w:r>
      <w:r w:rsidR="001C6C88" w:rsidRPr="00CC4102">
        <w:rPr>
          <w:sz w:val="24"/>
          <w:szCs w:val="24"/>
        </w:rPr>
        <w:t xml:space="preserve">om the person in charge of </w:t>
      </w:r>
      <w:r w:rsidR="003D7BF7" w:rsidRPr="00CC4102">
        <w:rPr>
          <w:sz w:val="24"/>
          <w:szCs w:val="24"/>
        </w:rPr>
        <w:t>the location.  A copy of this policy will be provided at the time of the request.</w:t>
      </w:r>
    </w:p>
    <w:p w:rsidR="00CC4102" w:rsidRPr="00CC4102" w:rsidRDefault="00CC4102" w:rsidP="00CC4102">
      <w:pPr>
        <w:spacing w:after="0"/>
        <w:ind w:left="-1080" w:firstLine="720"/>
        <w:jc w:val="both"/>
        <w:rPr>
          <w:sz w:val="24"/>
          <w:szCs w:val="24"/>
        </w:rPr>
      </w:pPr>
    </w:p>
    <w:p w:rsidR="003D7BF7" w:rsidRPr="00CC4102" w:rsidRDefault="003D7BF7" w:rsidP="00CC4102">
      <w:pPr>
        <w:pStyle w:val="ListParagraph"/>
        <w:numPr>
          <w:ilvl w:val="0"/>
          <w:numId w:val="6"/>
        </w:numPr>
        <w:spacing w:after="0"/>
        <w:ind w:left="0" w:firstLine="720"/>
        <w:jc w:val="both"/>
        <w:rPr>
          <w:sz w:val="24"/>
          <w:szCs w:val="24"/>
        </w:rPr>
      </w:pPr>
      <w:r w:rsidRPr="00CC4102">
        <w:rPr>
          <w:sz w:val="24"/>
          <w:szCs w:val="24"/>
        </w:rPr>
        <w:t>The library designates an area at least twenty-five fe</w:t>
      </w:r>
      <w:r w:rsidR="001C6C88" w:rsidRPr="00CC4102">
        <w:rPr>
          <w:sz w:val="24"/>
          <w:szCs w:val="24"/>
        </w:rPr>
        <w:t xml:space="preserve">et away from any entry door to </w:t>
      </w:r>
      <w:r w:rsidRPr="00CC4102">
        <w:rPr>
          <w:sz w:val="24"/>
          <w:szCs w:val="24"/>
        </w:rPr>
        <w:t xml:space="preserve">speak, canvass, perform, or distribute materials that is </w:t>
      </w:r>
      <w:r w:rsidR="001C6C88" w:rsidRPr="00CC4102">
        <w:rPr>
          <w:sz w:val="24"/>
          <w:szCs w:val="24"/>
        </w:rPr>
        <w:t xml:space="preserve">safe and ensures that library </w:t>
      </w:r>
      <w:r w:rsidRPr="00CC4102">
        <w:rPr>
          <w:sz w:val="24"/>
          <w:szCs w:val="24"/>
        </w:rPr>
        <w:t>users will have unobstructed facility ingress and egress.</w:t>
      </w:r>
    </w:p>
    <w:p w:rsidR="00CC4102" w:rsidRPr="00CC4102" w:rsidRDefault="00CC4102" w:rsidP="00CC4102">
      <w:pPr>
        <w:pStyle w:val="ListParagraph"/>
        <w:ind w:left="0" w:firstLine="720"/>
        <w:rPr>
          <w:sz w:val="24"/>
          <w:szCs w:val="24"/>
        </w:rPr>
      </w:pPr>
    </w:p>
    <w:p w:rsidR="00CC4102" w:rsidRPr="00CC4102" w:rsidRDefault="00CC4102" w:rsidP="00CC4102">
      <w:pPr>
        <w:spacing w:after="0"/>
        <w:ind w:firstLine="720"/>
        <w:jc w:val="both"/>
        <w:rPr>
          <w:sz w:val="24"/>
          <w:szCs w:val="24"/>
        </w:rPr>
      </w:pPr>
    </w:p>
    <w:p w:rsidR="00D25361" w:rsidRDefault="003D7BF7" w:rsidP="00CC4102">
      <w:pPr>
        <w:spacing w:after="0"/>
        <w:ind w:firstLine="720"/>
        <w:jc w:val="both"/>
        <w:rPr>
          <w:sz w:val="24"/>
          <w:szCs w:val="24"/>
        </w:rPr>
      </w:pPr>
      <w:r w:rsidRPr="001C6C88">
        <w:rPr>
          <w:sz w:val="24"/>
          <w:szCs w:val="24"/>
        </w:rPr>
        <w:t>3.</w:t>
      </w:r>
      <w:r w:rsidRPr="001C6C88">
        <w:rPr>
          <w:sz w:val="24"/>
          <w:szCs w:val="24"/>
        </w:rPr>
        <w:tab/>
        <w:t xml:space="preserve">The conduct of persons speaking, canvassing, performing, or </w:t>
      </w:r>
      <w:r w:rsidR="001271B0" w:rsidRPr="001C6C88">
        <w:rPr>
          <w:sz w:val="24"/>
          <w:szCs w:val="24"/>
        </w:rPr>
        <w:t>distributing</w:t>
      </w:r>
      <w:r w:rsidRPr="001C6C88">
        <w:rPr>
          <w:sz w:val="24"/>
          <w:szCs w:val="24"/>
        </w:rPr>
        <w:t xml:space="preserve"> information on Alexandrian Public Library grounds must be in compliance with Alexandrian Public Library</w:t>
      </w:r>
      <w:r w:rsidR="001271B0" w:rsidRPr="001C6C88">
        <w:rPr>
          <w:sz w:val="24"/>
          <w:szCs w:val="24"/>
        </w:rPr>
        <w:t xml:space="preserve"> policies and federal, state, and local laws, ordinances, and statutes.</w:t>
      </w:r>
    </w:p>
    <w:p w:rsidR="00D25361" w:rsidRPr="001C6C88" w:rsidRDefault="00D25361" w:rsidP="00CC4102">
      <w:pPr>
        <w:spacing w:after="0"/>
        <w:ind w:firstLine="720"/>
        <w:jc w:val="both"/>
        <w:rPr>
          <w:sz w:val="24"/>
          <w:szCs w:val="24"/>
        </w:rPr>
      </w:pPr>
    </w:p>
    <w:p w:rsidR="001271B0" w:rsidRPr="001C6C88" w:rsidRDefault="001271B0" w:rsidP="00CC4102">
      <w:pPr>
        <w:spacing w:after="0"/>
        <w:ind w:firstLine="720"/>
        <w:jc w:val="both"/>
        <w:rPr>
          <w:sz w:val="24"/>
          <w:szCs w:val="24"/>
        </w:rPr>
      </w:pPr>
      <w:r w:rsidRPr="001C6C88">
        <w:rPr>
          <w:sz w:val="24"/>
          <w:szCs w:val="24"/>
        </w:rPr>
        <w:t>4.</w:t>
      </w:r>
      <w:r w:rsidRPr="001C6C88">
        <w:rPr>
          <w:sz w:val="24"/>
          <w:szCs w:val="24"/>
        </w:rPr>
        <w:tab/>
        <w:t>Distributing materials, canvassing, performing</w:t>
      </w:r>
      <w:r w:rsidR="006269EA" w:rsidRPr="001C6C88">
        <w:rPr>
          <w:sz w:val="24"/>
          <w:szCs w:val="24"/>
        </w:rPr>
        <w:t>,</w:t>
      </w:r>
      <w:r w:rsidRPr="001C6C88">
        <w:rPr>
          <w:sz w:val="24"/>
          <w:szCs w:val="24"/>
        </w:rPr>
        <w:t xml:space="preserve"> or speaki</w:t>
      </w:r>
      <w:r w:rsidR="001C6C88">
        <w:rPr>
          <w:sz w:val="24"/>
          <w:szCs w:val="24"/>
        </w:rPr>
        <w:t xml:space="preserve">ng may be done only during the </w:t>
      </w:r>
      <w:r w:rsidRPr="001C6C88">
        <w:rPr>
          <w:sz w:val="24"/>
          <w:szCs w:val="24"/>
        </w:rPr>
        <w:t>operating hours of the Alexandrian Public Library locatio</w:t>
      </w:r>
      <w:r w:rsidR="00096B37">
        <w:rPr>
          <w:sz w:val="24"/>
          <w:szCs w:val="24"/>
        </w:rPr>
        <w:t xml:space="preserve">n where the activity is taking </w:t>
      </w:r>
      <w:r w:rsidRPr="001C6C88">
        <w:rPr>
          <w:sz w:val="24"/>
          <w:szCs w:val="24"/>
        </w:rPr>
        <w:t>place.</w:t>
      </w:r>
      <w:r w:rsidR="00D25361">
        <w:rPr>
          <w:sz w:val="24"/>
          <w:szCs w:val="24"/>
        </w:rPr>
        <w:br/>
      </w:r>
    </w:p>
    <w:p w:rsidR="001271B0" w:rsidRDefault="001271B0" w:rsidP="00CC4102">
      <w:pPr>
        <w:spacing w:after="0"/>
        <w:ind w:firstLine="720"/>
        <w:jc w:val="both"/>
        <w:rPr>
          <w:sz w:val="24"/>
          <w:szCs w:val="24"/>
        </w:rPr>
      </w:pPr>
      <w:r w:rsidRPr="001C6C88">
        <w:rPr>
          <w:sz w:val="24"/>
          <w:szCs w:val="24"/>
        </w:rPr>
        <w:t>5.</w:t>
      </w:r>
      <w:r w:rsidRPr="001C6C88">
        <w:rPr>
          <w:sz w:val="24"/>
          <w:szCs w:val="24"/>
        </w:rPr>
        <w:tab/>
        <w:t>In the library’s aesthetic interest to maintain the premis</w:t>
      </w:r>
      <w:r w:rsidR="001C6C88">
        <w:rPr>
          <w:sz w:val="24"/>
          <w:szCs w:val="24"/>
        </w:rPr>
        <w:t xml:space="preserve">es free of debris and clutter, </w:t>
      </w:r>
      <w:r w:rsidRPr="001C6C88">
        <w:rPr>
          <w:sz w:val="24"/>
          <w:szCs w:val="24"/>
        </w:rPr>
        <w:t>materials including, but not limited to, posters, flyers, pl</w:t>
      </w:r>
      <w:r w:rsidR="001C6C88">
        <w:rPr>
          <w:sz w:val="24"/>
          <w:szCs w:val="24"/>
        </w:rPr>
        <w:t xml:space="preserve">acards, brochures, banners, or </w:t>
      </w:r>
      <w:r w:rsidRPr="001C6C88">
        <w:rPr>
          <w:sz w:val="24"/>
          <w:szCs w:val="24"/>
        </w:rPr>
        <w:t>signs of any type may not be left unattended on Alexandri</w:t>
      </w:r>
      <w:r w:rsidR="00096B37">
        <w:rPr>
          <w:sz w:val="24"/>
          <w:szCs w:val="24"/>
        </w:rPr>
        <w:t xml:space="preserve">an Public Library grounds. The </w:t>
      </w:r>
      <w:r w:rsidRPr="001C6C88">
        <w:rPr>
          <w:sz w:val="24"/>
          <w:szCs w:val="24"/>
        </w:rPr>
        <w:t>Alexandrian Public Library will remove and dispose of any u</w:t>
      </w:r>
      <w:r w:rsidR="00096B37">
        <w:rPr>
          <w:sz w:val="24"/>
          <w:szCs w:val="24"/>
        </w:rPr>
        <w:t xml:space="preserve">nattended materials, including </w:t>
      </w:r>
      <w:r w:rsidRPr="001C6C88">
        <w:rPr>
          <w:sz w:val="24"/>
          <w:szCs w:val="24"/>
        </w:rPr>
        <w:t>political campaign signs.</w:t>
      </w:r>
    </w:p>
    <w:p w:rsidR="00D25361" w:rsidRPr="001C6C88" w:rsidRDefault="00D25361" w:rsidP="00CC4102">
      <w:pPr>
        <w:spacing w:after="0"/>
        <w:ind w:firstLine="720"/>
        <w:jc w:val="both"/>
        <w:rPr>
          <w:sz w:val="24"/>
          <w:szCs w:val="24"/>
        </w:rPr>
      </w:pPr>
    </w:p>
    <w:p w:rsidR="001271B0" w:rsidRPr="001C6C88" w:rsidRDefault="001271B0" w:rsidP="00CC4102">
      <w:pPr>
        <w:spacing w:after="0"/>
        <w:ind w:firstLine="720"/>
        <w:jc w:val="both"/>
        <w:rPr>
          <w:sz w:val="24"/>
          <w:szCs w:val="24"/>
        </w:rPr>
      </w:pPr>
      <w:r w:rsidRPr="001C6C88">
        <w:rPr>
          <w:sz w:val="24"/>
          <w:szCs w:val="24"/>
        </w:rPr>
        <w:t>6.</w:t>
      </w:r>
      <w:r w:rsidRPr="001C6C88">
        <w:rPr>
          <w:sz w:val="24"/>
          <w:szCs w:val="24"/>
        </w:rPr>
        <w:tab/>
        <w:t xml:space="preserve">Notwithstanding the foregoing, </w:t>
      </w:r>
      <w:r w:rsidR="006269EA" w:rsidRPr="001C6C88">
        <w:rPr>
          <w:sz w:val="24"/>
          <w:szCs w:val="24"/>
        </w:rPr>
        <w:t>APL</w:t>
      </w:r>
      <w:r w:rsidRPr="001C6C88">
        <w:rPr>
          <w:sz w:val="24"/>
          <w:szCs w:val="24"/>
        </w:rPr>
        <w:t xml:space="preserve"> recognizes that this policy may need suspension, relaxation, or adjustment on election days. </w:t>
      </w:r>
      <w:r w:rsidR="006269EA" w:rsidRPr="001C6C88">
        <w:rPr>
          <w:sz w:val="24"/>
          <w:szCs w:val="24"/>
        </w:rPr>
        <w:t>APL</w:t>
      </w:r>
      <w:r w:rsidRPr="001C6C88">
        <w:rPr>
          <w:sz w:val="24"/>
          <w:szCs w:val="24"/>
        </w:rPr>
        <w:t xml:space="preserve"> facilities and space are customarily used as a voting </w:t>
      </w:r>
      <w:r w:rsidR="006269EA" w:rsidRPr="001C6C88">
        <w:rPr>
          <w:sz w:val="24"/>
          <w:szCs w:val="24"/>
        </w:rPr>
        <w:t>precinct</w:t>
      </w:r>
      <w:r w:rsidRPr="001C6C88">
        <w:rPr>
          <w:sz w:val="24"/>
          <w:szCs w:val="24"/>
        </w:rPr>
        <w:t xml:space="preserve"> for federal, state, and local elections. </w:t>
      </w:r>
      <w:r w:rsidR="006269EA" w:rsidRPr="001C6C88">
        <w:rPr>
          <w:sz w:val="24"/>
          <w:szCs w:val="24"/>
        </w:rPr>
        <w:t>APL</w:t>
      </w:r>
      <w:r w:rsidRPr="001C6C88">
        <w:rPr>
          <w:sz w:val="24"/>
          <w:szCs w:val="24"/>
        </w:rPr>
        <w:t xml:space="preserve"> believes that providing such facilities and space for the conduct of such elections provides an important service to the community and the democratic process. APL acknowledges that voting precincts on elections days are often accompanied by outdoor electioneering and campaigning in the form of signs, candidate and referenda support,</w:t>
      </w:r>
      <w:r w:rsidR="006269EA" w:rsidRPr="001C6C88">
        <w:rPr>
          <w:sz w:val="24"/>
          <w:szCs w:val="24"/>
        </w:rPr>
        <w:t xml:space="preserve"> po</w:t>
      </w:r>
      <w:r w:rsidRPr="001C6C88">
        <w:rPr>
          <w:sz w:val="24"/>
          <w:szCs w:val="24"/>
        </w:rPr>
        <w:t>lling, media coverage, and other activities. In such event APL will permit such activities provided they do no</w:t>
      </w:r>
      <w:r w:rsidR="006269EA" w:rsidRPr="001C6C88">
        <w:rPr>
          <w:sz w:val="24"/>
          <w:szCs w:val="24"/>
        </w:rPr>
        <w:t>t</w:t>
      </w:r>
      <w:r w:rsidRPr="001C6C88">
        <w:rPr>
          <w:sz w:val="24"/>
          <w:szCs w:val="24"/>
        </w:rPr>
        <w:t xml:space="preserve"> </w:t>
      </w:r>
      <w:r w:rsidR="006269EA" w:rsidRPr="001C6C88">
        <w:rPr>
          <w:sz w:val="24"/>
          <w:szCs w:val="24"/>
        </w:rPr>
        <w:t>(</w:t>
      </w:r>
      <w:r w:rsidRPr="001C6C88">
        <w:rPr>
          <w:sz w:val="24"/>
          <w:szCs w:val="24"/>
        </w:rPr>
        <w:t xml:space="preserve">1) violate federal, state, or local law, including but not limited to lawful restrictions on electioneering; or (2) unreasonably interfere with APL’s library services or its patron’s </w:t>
      </w:r>
      <w:r w:rsidR="001C6C88">
        <w:rPr>
          <w:sz w:val="24"/>
          <w:szCs w:val="24"/>
        </w:rPr>
        <w:t>quiet</w:t>
      </w:r>
      <w:r w:rsidRPr="001C6C88">
        <w:rPr>
          <w:sz w:val="24"/>
          <w:szCs w:val="24"/>
        </w:rPr>
        <w:t xml:space="preserve"> enjoyment of, and ingress and egress to and from, the library.</w:t>
      </w:r>
    </w:p>
    <w:p w:rsidR="001271B0" w:rsidRPr="001C6C88" w:rsidRDefault="001271B0" w:rsidP="00CC4102">
      <w:pPr>
        <w:spacing w:after="0"/>
        <w:ind w:firstLine="720"/>
        <w:jc w:val="both"/>
        <w:rPr>
          <w:sz w:val="24"/>
          <w:szCs w:val="24"/>
        </w:rPr>
      </w:pPr>
    </w:p>
    <w:p w:rsidR="003D7BF7" w:rsidRPr="003D7BF7" w:rsidRDefault="003D7BF7" w:rsidP="003D7BF7">
      <w:pPr>
        <w:spacing w:after="0"/>
        <w:rPr>
          <w:sz w:val="22"/>
          <w:szCs w:val="22"/>
        </w:rPr>
      </w:pPr>
    </w:p>
    <w:sectPr w:rsidR="003D7BF7" w:rsidRPr="003D7BF7" w:rsidSect="00096B37">
      <w:footerReference w:type="even" r:id="rId8"/>
      <w:footerReference w:type="default" r:id="rId9"/>
      <w:headerReference w:type="first" r:id="rId10"/>
      <w:footerReference w:type="first" r:id="rId11"/>
      <w:pgSz w:w="12240" w:h="15840"/>
      <w:pgMar w:top="1440" w:right="1080" w:bottom="1440" w:left="1080" w:header="720" w:footer="720" w:gutter="0"/>
      <w:cols w:space="720"/>
      <w:titlePg/>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19E6" w:rsidRDefault="00F019E6" w:rsidP="009526BB">
      <w:pPr>
        <w:spacing w:after="0" w:line="240" w:lineRule="auto"/>
      </w:pPr>
      <w:r>
        <w:separator/>
      </w:r>
    </w:p>
  </w:endnote>
  <w:endnote w:type="continuationSeparator" w:id="0">
    <w:p w:rsidR="00F019E6" w:rsidRDefault="00F019E6" w:rsidP="009526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Gotham Bold">
    <w:altName w:val="Segoe UI Semibold"/>
    <w:panose1 w:val="02000803030000020004"/>
    <w:charset w:val="00"/>
    <w:family w:val="auto"/>
    <w:pitch w:val="variable"/>
    <w:sig w:usb0="A00000AF" w:usb1="40000048" w:usb2="00000000" w:usb3="00000000" w:csb0="0000011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3F03" w:rsidRPr="00AE3F03" w:rsidRDefault="00930D03">
    <w:pPr>
      <w:pStyle w:val="Footer"/>
      <w:rPr>
        <w:sz w:val="28"/>
      </w:rPr>
    </w:pPr>
    <w:r>
      <w:tab/>
    </w:r>
    <w:r>
      <w:tab/>
    </w:r>
    <w:r>
      <w:rPr>
        <w:sz w:val="28"/>
      </w:rPr>
      <w:t>13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1C25" w:rsidRPr="00AE3F03" w:rsidRDefault="00095739">
    <w:pPr>
      <w:pStyle w:val="Footer"/>
      <w:rPr>
        <w:sz w:val="28"/>
        <w:szCs w:val="28"/>
      </w:rPr>
    </w:pPr>
    <w:r>
      <w:t xml:space="preserve">Approved by the </w:t>
    </w:r>
    <w:r>
      <w:rPr>
        <w:sz w:val="22"/>
        <w:szCs w:val="22"/>
      </w:rPr>
      <w:t>Alexandrian Public Library board of Trustees on April 4, 2012</w:t>
    </w:r>
    <w:r w:rsidR="00930D03">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26BB" w:rsidRDefault="008F42A2">
    <w:pPr>
      <w:pStyle w:val="Footer"/>
    </w:pPr>
    <w:r>
      <w:t xml:space="preserve">Approved by the </w:t>
    </w:r>
    <w:r>
      <w:rPr>
        <w:sz w:val="22"/>
        <w:szCs w:val="22"/>
      </w:rPr>
      <w:t>Alexandrian Public Library board of Trustees on April 4, 2012</w:t>
    </w:r>
    <w:r w:rsidR="009526BB">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19E6" w:rsidRDefault="00F019E6" w:rsidP="009526BB">
      <w:pPr>
        <w:spacing w:after="0" w:line="240" w:lineRule="auto"/>
      </w:pPr>
      <w:r>
        <w:separator/>
      </w:r>
    </w:p>
  </w:footnote>
  <w:footnote w:type="continuationSeparator" w:id="0">
    <w:p w:rsidR="00F019E6" w:rsidRDefault="00F019E6" w:rsidP="009526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6462" w:rsidRDefault="00F019E6" w:rsidP="00166462">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77E8B"/>
    <w:multiLevelType w:val="hybridMultilevel"/>
    <w:tmpl w:val="DE8A0B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F25AC5"/>
    <w:multiLevelType w:val="hybridMultilevel"/>
    <w:tmpl w:val="7C66E5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317746"/>
    <w:multiLevelType w:val="hybridMultilevel"/>
    <w:tmpl w:val="200A9120"/>
    <w:lvl w:ilvl="0" w:tplc="85E63A3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5171260"/>
    <w:multiLevelType w:val="hybridMultilevel"/>
    <w:tmpl w:val="2E9A52F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56B1F91"/>
    <w:multiLevelType w:val="hybridMultilevel"/>
    <w:tmpl w:val="A47006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084004C"/>
    <w:multiLevelType w:val="hybridMultilevel"/>
    <w:tmpl w:val="36EEBFB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5"/>
  </w:num>
  <w:num w:numId="3">
    <w:abstractNumId w:val="1"/>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26BB"/>
    <w:rsid w:val="00095739"/>
    <w:rsid w:val="00096B37"/>
    <w:rsid w:val="001271B0"/>
    <w:rsid w:val="001C6C88"/>
    <w:rsid w:val="0020309D"/>
    <w:rsid w:val="003A76BD"/>
    <w:rsid w:val="003D7BF7"/>
    <w:rsid w:val="004E6640"/>
    <w:rsid w:val="0059195E"/>
    <w:rsid w:val="006269EA"/>
    <w:rsid w:val="0086674E"/>
    <w:rsid w:val="008F42A2"/>
    <w:rsid w:val="00930D03"/>
    <w:rsid w:val="009526BB"/>
    <w:rsid w:val="00982FCA"/>
    <w:rsid w:val="00AF56B1"/>
    <w:rsid w:val="00B80323"/>
    <w:rsid w:val="00CC4102"/>
    <w:rsid w:val="00CF6F4A"/>
    <w:rsid w:val="00D25361"/>
    <w:rsid w:val="00DF0209"/>
    <w:rsid w:val="00F019E6"/>
    <w:rsid w:val="00F174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0110AE-6B55-44DC-A4F9-2C85CFB2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26BB"/>
    <w:pPr>
      <w:spacing w:line="312" w:lineRule="auto"/>
    </w:pPr>
    <w:rPr>
      <w:rFonts w:eastAsiaTheme="minorEastAsia"/>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526BB"/>
    <w:pPr>
      <w:tabs>
        <w:tab w:val="center" w:pos="4320"/>
        <w:tab w:val="right" w:pos="8640"/>
      </w:tabs>
    </w:pPr>
  </w:style>
  <w:style w:type="character" w:customStyle="1" w:styleId="HeaderChar">
    <w:name w:val="Header Char"/>
    <w:basedOn w:val="DefaultParagraphFont"/>
    <w:link w:val="Header"/>
    <w:rsid w:val="009526BB"/>
    <w:rPr>
      <w:rFonts w:eastAsiaTheme="minorEastAsia"/>
      <w:sz w:val="21"/>
      <w:szCs w:val="21"/>
    </w:rPr>
  </w:style>
  <w:style w:type="paragraph" w:styleId="Footer">
    <w:name w:val="footer"/>
    <w:basedOn w:val="Normal"/>
    <w:link w:val="FooterChar"/>
    <w:rsid w:val="009526BB"/>
    <w:pPr>
      <w:tabs>
        <w:tab w:val="center" w:pos="4320"/>
        <w:tab w:val="right" w:pos="8640"/>
      </w:tabs>
    </w:pPr>
  </w:style>
  <w:style w:type="character" w:customStyle="1" w:styleId="FooterChar">
    <w:name w:val="Footer Char"/>
    <w:basedOn w:val="DefaultParagraphFont"/>
    <w:link w:val="Footer"/>
    <w:rsid w:val="009526BB"/>
    <w:rPr>
      <w:rFonts w:eastAsiaTheme="minorEastAsia"/>
      <w:sz w:val="21"/>
      <w:szCs w:val="21"/>
    </w:rPr>
  </w:style>
  <w:style w:type="paragraph" w:styleId="Title">
    <w:name w:val="Title"/>
    <w:basedOn w:val="Normal"/>
    <w:next w:val="Normal"/>
    <w:link w:val="TitleChar"/>
    <w:uiPriority w:val="10"/>
    <w:qFormat/>
    <w:rsid w:val="009526BB"/>
    <w:pPr>
      <w:spacing w:after="0" w:line="240" w:lineRule="auto"/>
      <w:contextualSpacing/>
    </w:pPr>
    <w:rPr>
      <w:rFonts w:asciiTheme="majorHAnsi" w:eastAsiaTheme="majorEastAsia" w:hAnsiTheme="majorHAnsi" w:cstheme="majorBidi"/>
      <w:caps/>
      <w:spacing w:val="40"/>
      <w:sz w:val="76"/>
      <w:szCs w:val="76"/>
    </w:rPr>
  </w:style>
  <w:style w:type="character" w:customStyle="1" w:styleId="TitleChar">
    <w:name w:val="Title Char"/>
    <w:basedOn w:val="DefaultParagraphFont"/>
    <w:link w:val="Title"/>
    <w:uiPriority w:val="10"/>
    <w:rsid w:val="009526BB"/>
    <w:rPr>
      <w:rFonts w:asciiTheme="majorHAnsi" w:eastAsiaTheme="majorEastAsia" w:hAnsiTheme="majorHAnsi" w:cstheme="majorBidi"/>
      <w:caps/>
      <w:spacing w:val="40"/>
      <w:sz w:val="76"/>
      <w:szCs w:val="76"/>
    </w:rPr>
  </w:style>
  <w:style w:type="paragraph" w:styleId="ListParagraph">
    <w:name w:val="List Paragraph"/>
    <w:basedOn w:val="Normal"/>
    <w:uiPriority w:val="34"/>
    <w:qFormat/>
    <w:rsid w:val="003D7B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504</Words>
  <Characters>2876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Marissa Priddis</dc:creator>
  <cp:keywords/>
  <dc:description/>
  <cp:lastModifiedBy>Marissa Priddis</cp:lastModifiedBy>
  <cp:revision>10</cp:revision>
  <dcterms:created xsi:type="dcterms:W3CDTF">2019-08-16T18:34:00Z</dcterms:created>
  <dcterms:modified xsi:type="dcterms:W3CDTF">2019-08-20T14:57:00Z</dcterms:modified>
</cp:coreProperties>
</file>